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C441ED" w:rsidP="00FF46C8">
      <w:pPr>
        <w:ind w:right="224"/>
        <w:jc w:val="center"/>
        <w:rPr>
          <w:b/>
          <w:sz w:val="24"/>
          <w:szCs w:val="24"/>
        </w:rPr>
      </w:pPr>
      <w:r>
        <w:rPr>
          <w:b/>
          <w:sz w:val="24"/>
          <w:szCs w:val="24"/>
        </w:rPr>
        <w:t>«</w:t>
      </w:r>
      <w:r w:rsidRPr="00C441ED">
        <w:rPr>
          <w:b/>
          <w:sz w:val="24"/>
          <w:szCs w:val="24"/>
        </w:rPr>
        <w:t xml:space="preserve">Работы по </w:t>
      </w:r>
      <w:r w:rsidR="00E0197C">
        <w:rPr>
          <w:b/>
          <w:sz w:val="24"/>
          <w:szCs w:val="24"/>
        </w:rPr>
        <w:t>оснащению (установке оборудования и деталей) автомобилей</w:t>
      </w:r>
      <w:r>
        <w:rPr>
          <w:b/>
          <w:sz w:val="24"/>
          <w:szCs w:val="24"/>
        </w:rPr>
        <w:t>» (</w:t>
      </w:r>
      <w:r w:rsidR="00E0197C">
        <w:rPr>
          <w:b/>
          <w:sz w:val="24"/>
          <w:szCs w:val="24"/>
        </w:rPr>
        <w:t xml:space="preserve">Оснащение </w:t>
      </w:r>
      <w:proofErr w:type="spellStart"/>
      <w:r w:rsidR="00E0197C">
        <w:rPr>
          <w:b/>
          <w:sz w:val="24"/>
          <w:szCs w:val="24"/>
        </w:rPr>
        <w:t>АТиСТ</w:t>
      </w:r>
      <w:proofErr w:type="spellEnd"/>
      <w:r w:rsidR="00E0197C">
        <w:rPr>
          <w:b/>
          <w:sz w:val="24"/>
          <w:szCs w:val="24"/>
        </w:rPr>
        <w:t xml:space="preserve"> системой </w:t>
      </w:r>
      <w:r w:rsidR="00E0197C">
        <w:rPr>
          <w:b/>
          <w:sz w:val="24"/>
          <w:szCs w:val="24"/>
          <w:lang w:val="en-US"/>
        </w:rPr>
        <w:t>GPS</w:t>
      </w:r>
      <w:r w:rsidR="00E0197C">
        <w:rPr>
          <w:b/>
          <w:sz w:val="24"/>
          <w:szCs w:val="24"/>
        </w:rPr>
        <w:t>-мониторинга</w:t>
      </w:r>
      <w:r>
        <w:rPr>
          <w:b/>
          <w:sz w:val="24"/>
          <w:szCs w:val="24"/>
          <w:lang w:val="kk-KZ"/>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9"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[(R1-R0)/R0]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0F6D74" w:rsidRDefault="0031231A" w:rsidP="00380916">
      <w:pPr>
        <w:spacing w:line="240" w:lineRule="auto"/>
        <w:ind w:firstLine="567"/>
        <w:rPr>
          <w:b/>
          <w:color w:val="000000"/>
          <w:sz w:val="24"/>
          <w:szCs w:val="24"/>
        </w:rPr>
      </w:pPr>
      <w:r w:rsidRPr="000F6D74">
        <w:rPr>
          <w:b/>
          <w:sz w:val="24"/>
          <w:szCs w:val="24"/>
        </w:rPr>
        <w:lastRenderedPageBreak/>
        <w:t xml:space="preserve">Закупки </w:t>
      </w:r>
      <w:r w:rsidR="004B0173" w:rsidRPr="000F6D74">
        <w:rPr>
          <w:b/>
          <w:sz w:val="24"/>
          <w:szCs w:val="24"/>
        </w:rPr>
        <w:t>работ</w:t>
      </w:r>
      <w:r w:rsidRPr="000F6D74">
        <w:rPr>
          <w:b/>
          <w:sz w:val="24"/>
          <w:szCs w:val="24"/>
        </w:rPr>
        <w:t xml:space="preserve"> </w:t>
      </w:r>
      <w:r w:rsidR="00E3425B" w:rsidRPr="00E3425B">
        <w:rPr>
          <w:b/>
          <w:sz w:val="24"/>
          <w:szCs w:val="24"/>
        </w:rPr>
        <w:t xml:space="preserve">«Работы по оснащению (установке оборудования и деталей) автомобилей» (Оснащение </w:t>
      </w:r>
      <w:proofErr w:type="spellStart"/>
      <w:r w:rsidR="00E3425B" w:rsidRPr="00E3425B">
        <w:rPr>
          <w:b/>
          <w:sz w:val="24"/>
          <w:szCs w:val="24"/>
        </w:rPr>
        <w:t>АТиСТ</w:t>
      </w:r>
      <w:proofErr w:type="spellEnd"/>
      <w:r w:rsidR="00E3425B" w:rsidRPr="00E3425B">
        <w:rPr>
          <w:b/>
          <w:sz w:val="24"/>
          <w:szCs w:val="24"/>
        </w:rPr>
        <w:t xml:space="preserve"> системой GPS-мониторинга)</w:t>
      </w:r>
      <w:r w:rsidRPr="000F6D74">
        <w:rPr>
          <w:b/>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3425B">
        <w:rPr>
          <w:rFonts w:ascii="Times New Roman" w:hAnsi="Times New Roman" w:cs="Times New Roman"/>
          <w:b/>
        </w:rPr>
        <w:t>выполнения работ</w:t>
      </w:r>
      <w:r w:rsidRPr="00E3425B">
        <w:rPr>
          <w:rFonts w:ascii="Times New Roman" w:hAnsi="Times New Roman" w:cs="Times New Roman"/>
          <w:b/>
        </w:rPr>
        <w:t>, являющихся предметом проводимых электронных закупок способом тендера –</w:t>
      </w:r>
      <w:r w:rsidRPr="00E3425B">
        <w:rPr>
          <w:rFonts w:ascii="Times New Roman" w:hAnsi="Times New Roman" w:cs="Times New Roman"/>
          <w:b/>
          <w:bCs/>
        </w:rPr>
        <w:t xml:space="preserve"> </w:t>
      </w:r>
      <w:r w:rsidR="00E3425B" w:rsidRPr="00E3425B">
        <w:rPr>
          <w:rFonts w:ascii="Times New Roman" w:hAnsi="Times New Roman" w:cs="Times New Roman"/>
          <w:b/>
          <w:bCs/>
        </w:rPr>
        <w:t>12 010 000</w:t>
      </w:r>
      <w:r w:rsidR="00CE46CE" w:rsidRPr="00E3425B">
        <w:rPr>
          <w:rFonts w:ascii="Times New Roman" w:hAnsi="Times New Roman" w:cs="Times New Roman"/>
          <w:b/>
        </w:rPr>
        <w:t xml:space="preserve"> </w:t>
      </w:r>
      <w:r w:rsidRPr="00E3425B">
        <w:rPr>
          <w:rFonts w:ascii="Times New Roman" w:hAnsi="Times New Roman" w:cs="Times New Roman"/>
          <w:b/>
        </w:rPr>
        <w:t>тенге, без учета</w:t>
      </w:r>
      <w:r w:rsidRPr="00EF6B4C">
        <w:rPr>
          <w:rFonts w:ascii="Times New Roman" w:hAnsi="Times New Roman" w:cs="Times New Roman"/>
          <w:b/>
        </w:rPr>
        <w:t xml:space="preserve">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10"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1"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2"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3"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0C017D">
        <w:rPr>
          <w:bCs/>
          <w:sz w:val="24"/>
          <w:szCs w:val="24"/>
          <w:lang w:val="kk-KZ"/>
        </w:rPr>
        <w:t>0</w:t>
      </w:r>
      <w:r w:rsidR="003369ED" w:rsidRPr="00EF6B4C">
        <w:rPr>
          <w:bCs/>
          <w:sz w:val="24"/>
          <w:szCs w:val="24"/>
        </w:rPr>
        <w:t>%, оставшаяся часть</w:t>
      </w:r>
      <w:r w:rsidR="005569A6">
        <w:rPr>
          <w:bCs/>
          <w:sz w:val="24"/>
          <w:szCs w:val="24"/>
          <w:lang w:val="kk-KZ"/>
        </w:rPr>
        <w:t xml:space="preserve"> </w:t>
      </w:r>
      <w:r w:rsidR="004C07F3" w:rsidRPr="004C07F3">
        <w:rPr>
          <w:bCs/>
          <w:sz w:val="24"/>
          <w:szCs w:val="24"/>
          <w:lang w:val="kk-KZ"/>
        </w:rPr>
        <w:t>промежуточны</w:t>
      </w:r>
      <w:r w:rsidR="004C07F3">
        <w:rPr>
          <w:bCs/>
          <w:sz w:val="24"/>
          <w:szCs w:val="24"/>
          <w:lang w:val="kk-KZ"/>
        </w:rPr>
        <w:t xml:space="preserve">ми </w:t>
      </w:r>
      <w:r w:rsidR="004C07F3" w:rsidRPr="004C07F3">
        <w:rPr>
          <w:bCs/>
          <w:sz w:val="24"/>
          <w:szCs w:val="24"/>
          <w:lang w:val="kk-KZ"/>
        </w:rPr>
        <w:t>платеж</w:t>
      </w:r>
      <w:r w:rsidR="004C07F3">
        <w:rPr>
          <w:bCs/>
          <w:sz w:val="24"/>
          <w:szCs w:val="24"/>
          <w:lang w:val="kk-KZ"/>
        </w:rPr>
        <w:t>ами</w:t>
      </w:r>
      <w:r w:rsidR="004C07F3" w:rsidRPr="004C07F3">
        <w:rPr>
          <w:bCs/>
          <w:sz w:val="24"/>
          <w:szCs w:val="24"/>
          <w:lang w:val="kk-KZ"/>
        </w:rPr>
        <w:t xml:space="preserve"> </w:t>
      </w:r>
      <w:r w:rsidR="005569A6">
        <w:rPr>
          <w:bCs/>
          <w:sz w:val="24"/>
          <w:szCs w:val="24"/>
          <w:lang w:val="kk-KZ"/>
        </w:rPr>
        <w:t>по факту</w:t>
      </w:r>
      <w:r w:rsidR="003369ED" w:rsidRPr="00EF6B4C">
        <w:rPr>
          <w:bCs/>
          <w:sz w:val="24"/>
          <w:szCs w:val="24"/>
        </w:rPr>
        <w:t xml:space="preserve"> в </w:t>
      </w:r>
      <w:r w:rsidR="00927805" w:rsidRPr="00EF6B4C">
        <w:rPr>
          <w:bCs/>
          <w:sz w:val="24"/>
          <w:szCs w:val="24"/>
        </w:rPr>
        <w:t>течение</w:t>
      </w:r>
      <w:r w:rsidR="003369ED" w:rsidRPr="00EF6B4C">
        <w:rPr>
          <w:bCs/>
          <w:sz w:val="24"/>
          <w:szCs w:val="24"/>
        </w:rPr>
        <w:t xml:space="preserve"> </w:t>
      </w:r>
      <w:r w:rsidR="000C017D">
        <w:rPr>
          <w:bCs/>
          <w:sz w:val="24"/>
          <w:szCs w:val="24"/>
        </w:rPr>
        <w:t>10</w:t>
      </w:r>
      <w:r w:rsidR="003369ED" w:rsidRPr="00EF6B4C">
        <w:rPr>
          <w:bCs/>
          <w:sz w:val="24"/>
          <w:szCs w:val="24"/>
        </w:rPr>
        <w:t xml:space="preserve">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 xml:space="preserve">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w:t>
            </w:r>
            <w:r w:rsidRPr="007401D1">
              <w:rPr>
                <w:bCs/>
                <w:sz w:val="24"/>
                <w:szCs w:val="24"/>
              </w:rPr>
              <w:lastRenderedPageBreak/>
              <w:t>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xml:space="preserve">- 1,5% за 3 года опыта работы и 0,5% за каждый </w:t>
            </w:r>
            <w:r w:rsidRPr="007401D1">
              <w:rPr>
                <w:bCs/>
                <w:sz w:val="24"/>
                <w:szCs w:val="24"/>
              </w:rPr>
              <w:lastRenderedPageBreak/>
              <w:t>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515857"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w:t>
      </w:r>
      <w:r w:rsidRPr="00515857">
        <w:rPr>
          <w:bCs/>
          <w:sz w:val="24"/>
          <w:szCs w:val="24"/>
        </w:rPr>
        <w:t xml:space="preserve">установленного на дату перечисления платежа, выдачи банковской гарантии или иного обеспечения, определенного </w:t>
      </w:r>
      <w:r w:rsidR="001356BE" w:rsidRPr="00515857">
        <w:rPr>
          <w:sz w:val="24"/>
          <w:szCs w:val="24"/>
        </w:rPr>
        <w:t>Заказчиком</w:t>
      </w:r>
      <w:r w:rsidRPr="00515857">
        <w:rPr>
          <w:bCs/>
          <w:sz w:val="24"/>
          <w:szCs w:val="24"/>
        </w:rPr>
        <w:t>.</w:t>
      </w:r>
    </w:p>
    <w:p w:rsidR="001356BE" w:rsidRPr="00515857" w:rsidRDefault="00F44992" w:rsidP="00FA373A">
      <w:pPr>
        <w:widowControl/>
        <w:tabs>
          <w:tab w:val="left" w:pos="1080"/>
        </w:tabs>
        <w:autoSpaceDE w:val="0"/>
        <w:autoSpaceDN w:val="0"/>
        <w:spacing w:line="240" w:lineRule="auto"/>
        <w:ind w:firstLine="540"/>
        <w:rPr>
          <w:color w:val="000000"/>
          <w:sz w:val="24"/>
          <w:szCs w:val="24"/>
        </w:rPr>
      </w:pPr>
      <w:r w:rsidRPr="00515857">
        <w:rPr>
          <w:color w:val="000000"/>
          <w:sz w:val="24"/>
          <w:szCs w:val="24"/>
        </w:rPr>
        <w:t>8</w:t>
      </w:r>
      <w:r w:rsidR="0031231A" w:rsidRPr="00515857">
        <w:rPr>
          <w:color w:val="000000"/>
          <w:sz w:val="24"/>
          <w:szCs w:val="24"/>
        </w:rPr>
        <w:t xml:space="preserve">. Потенциальный поставщик </w:t>
      </w:r>
      <w:r w:rsidR="001356BE" w:rsidRPr="00515857">
        <w:rPr>
          <w:color w:val="000000"/>
          <w:sz w:val="24"/>
          <w:szCs w:val="24"/>
        </w:rPr>
        <w:t>вносит обеспечение заявки, в виде</w:t>
      </w:r>
      <w:r w:rsidR="00FA373A" w:rsidRPr="00515857">
        <w:rPr>
          <w:color w:val="000000"/>
          <w:sz w:val="24"/>
          <w:szCs w:val="24"/>
        </w:rPr>
        <w:t xml:space="preserve"> </w:t>
      </w:r>
      <w:r w:rsidR="001356BE" w:rsidRPr="00515857">
        <w:rPr>
          <w:color w:val="000000"/>
          <w:sz w:val="24"/>
          <w:szCs w:val="24"/>
        </w:rPr>
        <w:t>банковск</w:t>
      </w:r>
      <w:r w:rsidR="00FA373A" w:rsidRPr="00515857">
        <w:rPr>
          <w:color w:val="000000"/>
          <w:sz w:val="24"/>
          <w:szCs w:val="24"/>
        </w:rPr>
        <w:t>ой</w:t>
      </w:r>
      <w:r w:rsidR="001356BE" w:rsidRPr="00515857">
        <w:rPr>
          <w:color w:val="000000"/>
          <w:sz w:val="24"/>
          <w:szCs w:val="24"/>
        </w:rPr>
        <w:t xml:space="preserve"> гаранти</w:t>
      </w:r>
      <w:r w:rsidR="00FA373A" w:rsidRPr="00515857">
        <w:rPr>
          <w:color w:val="000000"/>
          <w:sz w:val="24"/>
          <w:szCs w:val="24"/>
        </w:rPr>
        <w:t>и</w:t>
      </w:r>
      <w:r w:rsidR="001356BE" w:rsidRPr="00515857">
        <w:rPr>
          <w:color w:val="000000"/>
          <w:sz w:val="24"/>
          <w:szCs w:val="24"/>
        </w:rPr>
        <w:t>, по форме согласно Приложению №1 к Тендерной документации</w:t>
      </w:r>
      <w:r w:rsidR="00EF6B4C" w:rsidRPr="00515857">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515857">
        <w:rPr>
          <w:color w:val="000000"/>
          <w:sz w:val="24"/>
          <w:szCs w:val="24"/>
        </w:rPr>
        <w:t>В случае внесения потенциальным поставщиком обеспечения</w:t>
      </w:r>
      <w:r w:rsidRPr="007401D1">
        <w:rPr>
          <w:color w:val="000000"/>
          <w:sz w:val="24"/>
          <w:szCs w:val="24"/>
        </w:rPr>
        <w:t xml:space="preserve">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w:t>
      </w:r>
      <w:r w:rsidRPr="00EF6B4C">
        <w:rPr>
          <w:rFonts w:ascii="Times New Roman" w:hAnsi="Times New Roman" w:cs="Times New Roman"/>
        </w:rPr>
        <w:lastRenderedPageBreak/>
        <w:t xml:space="preserve">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1"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4" w:history="1">
        <w:r w:rsidR="00033FE7" w:rsidRPr="00EF6B4C">
          <w:rPr>
            <w:sz w:val="24"/>
            <w:szCs w:val="24"/>
          </w:rPr>
          <w:t>www.cng.kz</w:t>
        </w:r>
      </w:hyperlink>
      <w:r w:rsidRPr="00EF6B4C">
        <w:rPr>
          <w:sz w:val="24"/>
          <w:szCs w:val="24"/>
        </w:rPr>
        <w:t xml:space="preserve">, </w:t>
      </w:r>
      <w:hyperlink r:id="rId15" w:history="1">
        <w:r w:rsidRPr="00EF6B4C">
          <w:rPr>
            <w:sz w:val="24"/>
            <w:szCs w:val="24"/>
          </w:rPr>
          <w:t>www.skm.kz</w:t>
        </w:r>
      </w:hyperlink>
      <w:r w:rsidRPr="00EF6B4C">
        <w:rPr>
          <w:sz w:val="24"/>
          <w:szCs w:val="24"/>
        </w:rPr>
        <w:t xml:space="preserve">, </w:t>
      </w:r>
      <w:hyperlink r:id="rId16"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w:t>
      </w:r>
      <w:r w:rsidRPr="007401D1">
        <w:rPr>
          <w:sz w:val="24"/>
          <w:szCs w:val="24"/>
        </w:rPr>
        <w:lastRenderedPageBreak/>
        <w:t>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7"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8"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9"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lastRenderedPageBreak/>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2" w:name="_Toc233707887"/>
      <w:r w:rsidRPr="00EF6B4C">
        <w:rPr>
          <w:b/>
          <w:sz w:val="24"/>
          <w:szCs w:val="24"/>
        </w:rPr>
        <w:t xml:space="preserve">10. Содержание </w:t>
      </w:r>
      <w:bookmarkEnd w:id="2"/>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515857"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w:t>
      </w:r>
      <w:r w:rsidRPr="00515857">
        <w:rPr>
          <w:rFonts w:ascii="Times New Roman" w:hAnsi="Times New Roman"/>
        </w:rPr>
        <w:t xml:space="preserve">электронной копии, по форме согласно </w:t>
      </w:r>
      <w:r w:rsidR="00033FE7" w:rsidRPr="00515857">
        <w:rPr>
          <w:rFonts w:ascii="Times New Roman" w:hAnsi="Times New Roman"/>
        </w:rPr>
        <w:t>П</w:t>
      </w:r>
      <w:r w:rsidRPr="00515857">
        <w:rPr>
          <w:rFonts w:ascii="Times New Roman" w:hAnsi="Times New Roman"/>
        </w:rPr>
        <w:t xml:space="preserve">риложению </w:t>
      </w:r>
      <w:r w:rsidR="00033FE7" w:rsidRPr="00515857">
        <w:rPr>
          <w:rFonts w:ascii="Times New Roman" w:hAnsi="Times New Roman"/>
        </w:rPr>
        <w:t>№</w:t>
      </w:r>
      <w:r w:rsidR="00750E3C" w:rsidRPr="00515857">
        <w:rPr>
          <w:rFonts w:ascii="Times New Roman" w:hAnsi="Times New Roman"/>
        </w:rPr>
        <w:t xml:space="preserve">3 </w:t>
      </w:r>
      <w:r w:rsidRPr="00515857">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о назначении (избрании) первого руководителя </w:t>
      </w:r>
      <w:r w:rsidRPr="007401D1">
        <w:rPr>
          <w:rFonts w:ascii="Times New Roman" w:hAnsi="Times New Roman"/>
        </w:rPr>
        <w:lastRenderedPageBreak/>
        <w:t>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3"/>
    <w:bookmarkEnd w:id="4"/>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6" w:name="_Ref363427934"/>
      <w:r w:rsidRPr="00EF6B4C">
        <w:rPr>
          <w:sz w:val="24"/>
          <w:szCs w:val="24"/>
        </w:rPr>
        <w:t>Оценка и сопоставление тендерных заявок осуществляется в соответствии с Правилами.</w:t>
      </w:r>
      <w:bookmarkEnd w:id="6"/>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lastRenderedPageBreak/>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w:t>
      </w:r>
      <w:r w:rsidR="000C63A3">
        <w:rPr>
          <w:sz w:val="24"/>
          <w:szCs w:val="24"/>
          <w:lang w:eastAsia="en-US"/>
        </w:rPr>
        <w:t>5</w:t>
      </w:r>
      <w:r w:rsidRPr="00EF6B4C">
        <w:rPr>
          <w:sz w:val="24"/>
          <w:szCs w:val="24"/>
          <w:lang w:eastAsia="en-US"/>
        </w:rPr>
        <w:t>.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lastRenderedPageBreak/>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lastRenderedPageBreak/>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не поступило ни одного предложения на 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20"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Если по результатам проверки документов несоответствия не выявлены, то процедуры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w:t>
      </w:r>
      <w:r w:rsidR="00DE7D1E" w:rsidRPr="00152460">
        <w:rPr>
          <w:sz w:val="24"/>
          <w:szCs w:val="24"/>
        </w:rPr>
        <w:lastRenderedPageBreak/>
        <w:t xml:space="preserve">(одного)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EF6B4C">
        <w:rPr>
          <w:sz w:val="24"/>
          <w:szCs w:val="24"/>
        </w:rPr>
        <w:t>6</w:t>
      </w:r>
      <w:r w:rsidR="002B4ACF" w:rsidRPr="00EF6B4C">
        <w:rPr>
          <w:sz w:val="24"/>
          <w:szCs w:val="24"/>
        </w:rPr>
        <w:t>2</w:t>
      </w:r>
      <w:r w:rsidRPr="00EF6B4C">
        <w:rPr>
          <w:sz w:val="24"/>
          <w:szCs w:val="24"/>
        </w:rPr>
        <w:t xml:space="preserve">. </w:t>
      </w:r>
      <w:bookmarkEnd w:id="7"/>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уклонения победителя и потенциального поставщика, занявшего второе место, от 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E7577F"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 xml:space="preserve">(физических лиц - инвалидов, осуществляющих предпринимательскую деятельность) </w:t>
      </w:r>
      <w:r w:rsidR="002E2C52" w:rsidRPr="00E7577F">
        <w:rPr>
          <w:rFonts w:ascii="Times New Roman" w:hAnsi="Times New Roman" w:cs="Times New Roman"/>
          <w:bCs/>
        </w:rPr>
        <w:t>Холдинга;</w:t>
      </w:r>
    </w:p>
    <w:p w:rsidR="00DE7D1E" w:rsidRPr="00E7577F" w:rsidRDefault="002B4ACF" w:rsidP="00DE7D1E">
      <w:pPr>
        <w:pStyle w:val="af7"/>
        <w:tabs>
          <w:tab w:val="clear" w:pos="567"/>
        </w:tabs>
        <w:rPr>
          <w:rFonts w:ascii="Times New Roman" w:hAnsi="Times New Roman" w:cs="Times New Roman"/>
        </w:rPr>
      </w:pPr>
      <w:r w:rsidRPr="00E7577F">
        <w:rPr>
          <w:rFonts w:ascii="Times New Roman" w:hAnsi="Times New Roman" w:cs="Times New Roman"/>
        </w:rPr>
        <w:t>3</w:t>
      </w:r>
      <w:r w:rsidR="00DE7D1E" w:rsidRPr="00E7577F">
        <w:rPr>
          <w:rFonts w:ascii="Times New Roman" w:hAnsi="Times New Roman" w:cs="Times New Roman"/>
        </w:rPr>
        <w:t>)</w:t>
      </w:r>
      <w:r w:rsidR="002E2C52" w:rsidRPr="00E7577F">
        <w:rPr>
          <w:rFonts w:ascii="Times New Roman" w:hAnsi="Times New Roman" w:cs="Times New Roman"/>
        </w:rPr>
        <w:t xml:space="preserve"> случаи, когда предметом закупок являются услуги страхования, электрическая энергия или горюче-смазочные материалы (по решению</w:t>
      </w:r>
      <w:r w:rsidR="002E2C52" w:rsidRPr="00E7577F">
        <w:rPr>
          <w:rFonts w:ascii="Times New Roman" w:hAnsi="Times New Roman" w:cs="Times New Roman"/>
          <w:bCs/>
        </w:rPr>
        <w:t xml:space="preserve"> Заказчика</w:t>
      </w:r>
      <w:r w:rsidR="002E2C52" w:rsidRPr="00E7577F">
        <w:rPr>
          <w:rFonts w:ascii="Times New Roman" w:hAnsi="Times New Roman" w:cs="Times New Roman"/>
        </w:rPr>
        <w:t>).</w:t>
      </w:r>
    </w:p>
    <w:p w:rsidR="00DE7D1E" w:rsidRPr="00E7577F" w:rsidRDefault="00DE7D1E" w:rsidP="00DE7D1E">
      <w:pPr>
        <w:spacing w:line="240" w:lineRule="auto"/>
        <w:ind w:firstLine="567"/>
        <w:rPr>
          <w:sz w:val="24"/>
          <w:szCs w:val="24"/>
        </w:rPr>
      </w:pPr>
      <w:r w:rsidRPr="00E7577F">
        <w:rPr>
          <w:sz w:val="24"/>
          <w:szCs w:val="24"/>
        </w:rPr>
        <w:t>68.</w:t>
      </w:r>
      <w:r w:rsidRPr="00E7577F">
        <w:rPr>
          <w:rStyle w:val="11"/>
          <w:szCs w:val="24"/>
        </w:rPr>
        <w:t xml:space="preserve"> </w:t>
      </w:r>
      <w:r w:rsidRPr="00E7577F">
        <w:rPr>
          <w:color w:val="000000"/>
          <w:sz w:val="24"/>
          <w:szCs w:val="24"/>
        </w:rPr>
        <w:t>П</w:t>
      </w:r>
      <w:r w:rsidRPr="00E7577F">
        <w:rPr>
          <w:sz w:val="24"/>
          <w:szCs w:val="24"/>
        </w:rPr>
        <w:t>оставщик предоставляет обеспечения возврата аванса (предоплаты) согласно Приложению №</w:t>
      </w:r>
      <w:r w:rsidR="006E41FB" w:rsidRPr="00E7577F">
        <w:rPr>
          <w:sz w:val="24"/>
          <w:szCs w:val="24"/>
        </w:rPr>
        <w:t>4</w:t>
      </w:r>
      <w:r w:rsidR="00EE35BB">
        <w:rPr>
          <w:sz w:val="24"/>
          <w:szCs w:val="24"/>
        </w:rPr>
        <w:t xml:space="preserve"> к </w:t>
      </w:r>
      <w:r w:rsidR="00126622">
        <w:rPr>
          <w:sz w:val="24"/>
          <w:szCs w:val="24"/>
        </w:rPr>
        <w:t>Т</w:t>
      </w:r>
      <w:r w:rsidR="00EE35BB">
        <w:rPr>
          <w:sz w:val="24"/>
          <w:szCs w:val="24"/>
        </w:rPr>
        <w:t>е</w:t>
      </w:r>
      <w:r w:rsidR="00030938">
        <w:rPr>
          <w:sz w:val="24"/>
          <w:szCs w:val="24"/>
        </w:rPr>
        <w:t>ндерной</w:t>
      </w:r>
      <w:bookmarkStart w:id="12" w:name="_GoBack"/>
      <w:bookmarkEnd w:id="12"/>
      <w:r w:rsidR="00EE35BB">
        <w:rPr>
          <w:sz w:val="24"/>
          <w:szCs w:val="24"/>
        </w:rPr>
        <w:t xml:space="preserve"> </w:t>
      </w:r>
      <w:r w:rsidR="00126622">
        <w:rPr>
          <w:sz w:val="24"/>
          <w:szCs w:val="24"/>
        </w:rPr>
        <w:t>документации</w:t>
      </w:r>
      <w:r w:rsidRPr="00E7577F">
        <w:rPr>
          <w:sz w:val="24"/>
          <w:szCs w:val="24"/>
        </w:rPr>
        <w:t xml:space="preserve">, </w:t>
      </w:r>
      <w:r w:rsidR="00CB00DB" w:rsidRPr="00E7577F">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E7577F">
        <w:rPr>
          <w:rFonts w:ascii="Times New Roman" w:hAnsi="Times New Roman" w:cs="Times New Roman"/>
        </w:rPr>
        <w:t>69. В случае, если обеспечение возврата аванса (предоплаты) и (или) обеспечение исполнения договора не будут предоставлены</w:t>
      </w:r>
      <w:r w:rsidRPr="00152460">
        <w:rPr>
          <w:rFonts w:ascii="Times New Roman" w:hAnsi="Times New Roman" w:cs="Times New Roman"/>
        </w:rPr>
        <w:t xml:space="preserve">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lastRenderedPageBreak/>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proofErr w:type="gramStart"/>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w:t>
      </w:r>
      <w:r w:rsidRPr="00EF6B4C">
        <w:rPr>
          <w:rFonts w:ascii="Times New Roman" w:hAnsi="Times New Roman"/>
        </w:rPr>
        <w:lastRenderedPageBreak/>
        <w:t>тендере;</w:t>
      </w:r>
      <w:proofErr w:type="gramEnd"/>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152460"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закупках </w:t>
      </w:r>
      <w:r w:rsidRPr="00515857">
        <w:rPr>
          <w:sz w:val="24"/>
          <w:szCs w:val="24"/>
        </w:rPr>
        <w:t>вносит обеспечение исполнения договора в виде банковской гарантии по форме согласно Приложению №</w:t>
      </w:r>
      <w:r w:rsidR="00515857" w:rsidRPr="00515857">
        <w:rPr>
          <w:sz w:val="24"/>
          <w:szCs w:val="24"/>
        </w:rPr>
        <w:t>6</w:t>
      </w:r>
      <w:r w:rsidRPr="00515857">
        <w:rPr>
          <w:sz w:val="24"/>
          <w:szCs w:val="24"/>
        </w:rPr>
        <w:t xml:space="preserve"> </w:t>
      </w:r>
      <w:r w:rsidR="00515857" w:rsidRPr="00515857">
        <w:rPr>
          <w:sz w:val="24"/>
          <w:szCs w:val="24"/>
        </w:rPr>
        <w:t>Тендерной документации</w:t>
      </w:r>
      <w:r w:rsidRPr="00515857">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152460">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 xml:space="preserve">В случае нарушения поставщиком исполнения договорных обязательств Заказчик вправе </w:t>
      </w:r>
      <w:r w:rsidRPr="00152460">
        <w:rPr>
          <w:bCs/>
          <w:sz w:val="24"/>
          <w:szCs w:val="24"/>
        </w:rPr>
        <w:lastRenderedPageBreak/>
        <w:t>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lastRenderedPageBreak/>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lastRenderedPageBreak/>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lastRenderedPageBreak/>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EF6B4C"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0362B0">
        <w:rPr>
          <w:bCs/>
          <w:sz w:val="24"/>
          <w:szCs w:val="24"/>
        </w:rPr>
        <w:t>97</w:t>
      </w:r>
      <w:r w:rsidRPr="00152460">
        <w:rPr>
          <w:bCs/>
          <w:sz w:val="24"/>
          <w:szCs w:val="24"/>
        </w:rPr>
        <w:t>-</w:t>
      </w:r>
      <w:r w:rsidR="000362B0">
        <w:rPr>
          <w:bCs/>
          <w:sz w:val="24"/>
          <w:szCs w:val="24"/>
        </w:rPr>
        <w:t>72</w:t>
      </w:r>
      <w:r w:rsidRPr="00152460">
        <w:rPr>
          <w:bCs/>
          <w:sz w:val="24"/>
          <w:szCs w:val="24"/>
        </w:rPr>
        <w:t>-</w:t>
      </w:r>
      <w:r w:rsidR="000362B0">
        <w:rPr>
          <w:bCs/>
          <w:sz w:val="24"/>
          <w:szCs w:val="24"/>
        </w:rPr>
        <w:t>9</w:t>
      </w:r>
      <w:r w:rsidRPr="00152460">
        <w:rPr>
          <w:bCs/>
          <w:sz w:val="24"/>
          <w:szCs w:val="24"/>
        </w:rPr>
        <w:t xml:space="preserve">4 и по электронному адресу: </w:t>
      </w:r>
      <w:r w:rsidR="000362B0">
        <w:rPr>
          <w:bCs/>
          <w:sz w:val="24"/>
          <w:szCs w:val="24"/>
          <w:lang w:val="en-US"/>
        </w:rPr>
        <w:t>r</w:t>
      </w:r>
      <w:r w:rsidR="000362B0" w:rsidRPr="000362B0">
        <w:rPr>
          <w:bCs/>
          <w:sz w:val="24"/>
          <w:szCs w:val="24"/>
        </w:rPr>
        <w:t>.</w:t>
      </w:r>
      <w:proofErr w:type="spellStart"/>
      <w:r w:rsidR="000362B0">
        <w:rPr>
          <w:bCs/>
          <w:sz w:val="24"/>
          <w:szCs w:val="24"/>
          <w:lang w:val="en-US"/>
        </w:rPr>
        <w:t>bisenov</w:t>
      </w:r>
      <w:proofErr w:type="spellEnd"/>
      <w:r w:rsidR="00EF6B4C" w:rsidRPr="00EF6B4C">
        <w:rPr>
          <w:bCs/>
          <w:sz w:val="24"/>
          <w:szCs w:val="24"/>
        </w:rPr>
        <w:t>@</w:t>
      </w:r>
      <w:proofErr w:type="spellStart"/>
      <w:r w:rsidR="00EF6B4C">
        <w:rPr>
          <w:bCs/>
          <w:sz w:val="24"/>
          <w:szCs w:val="24"/>
          <w:lang w:val="en-US"/>
        </w:rPr>
        <w:t>ktgo</w:t>
      </w:r>
      <w:proofErr w:type="spellEnd"/>
      <w:r w:rsidR="00EF6B4C" w:rsidRPr="00EF6B4C">
        <w:rPr>
          <w:bCs/>
          <w:sz w:val="24"/>
          <w:szCs w:val="24"/>
        </w:rPr>
        <w:t>.</w:t>
      </w:r>
      <w:proofErr w:type="spellStart"/>
      <w:r w:rsidR="00EF6B4C">
        <w:rPr>
          <w:bCs/>
          <w:sz w:val="24"/>
          <w:szCs w:val="24"/>
          <w:lang w:val="en-US"/>
        </w:rPr>
        <w:t>kz</w:t>
      </w:r>
      <w:proofErr w:type="spellEnd"/>
      <w:r w:rsidR="00EF6B4C" w:rsidRPr="00EF6B4C">
        <w:rPr>
          <w:bCs/>
          <w:sz w:val="24"/>
          <w:szCs w:val="24"/>
        </w:rPr>
        <w:t>.</w:t>
      </w:r>
    </w:p>
    <w:p w:rsidR="0031231A" w:rsidRPr="00E7577F" w:rsidRDefault="0031231A" w:rsidP="00E13BE0">
      <w:pPr>
        <w:autoSpaceDE w:val="0"/>
        <w:autoSpaceDN w:val="0"/>
        <w:spacing w:line="240" w:lineRule="auto"/>
        <w:ind w:firstLine="720"/>
        <w:rPr>
          <w:bCs/>
          <w:sz w:val="24"/>
          <w:szCs w:val="24"/>
        </w:rPr>
      </w:pPr>
      <w:r w:rsidRPr="00E7577F">
        <w:rPr>
          <w:bCs/>
          <w:sz w:val="24"/>
          <w:szCs w:val="24"/>
        </w:rPr>
        <w:t>Приложения:</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E7577F">
        <w:rPr>
          <w:rStyle w:val="s0"/>
          <w:sz w:val="24"/>
          <w:szCs w:val="24"/>
        </w:rPr>
        <w:t>Форма банковской гарантии обеспечение Тендерной заявки (форма Приложение №1 к Тендерной документации);</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E7577F">
        <w:rPr>
          <w:rStyle w:val="s0"/>
          <w:sz w:val="24"/>
          <w:szCs w:val="24"/>
        </w:rPr>
        <w:t xml:space="preserve">Сведения о </w:t>
      </w:r>
      <w:r w:rsidR="004B0173" w:rsidRPr="00E7577F">
        <w:rPr>
          <w:rStyle w:val="s0"/>
          <w:sz w:val="24"/>
          <w:szCs w:val="24"/>
        </w:rPr>
        <w:t>субподрядчике</w:t>
      </w:r>
      <w:r w:rsidRPr="00E7577F">
        <w:rPr>
          <w:rStyle w:val="s0"/>
          <w:sz w:val="24"/>
          <w:szCs w:val="24"/>
        </w:rPr>
        <w:t xml:space="preserve"> по </w:t>
      </w:r>
      <w:r w:rsidR="004B0173" w:rsidRPr="00E7577F">
        <w:rPr>
          <w:rStyle w:val="s0"/>
          <w:sz w:val="24"/>
          <w:szCs w:val="24"/>
        </w:rPr>
        <w:t>выполнению работ</w:t>
      </w:r>
      <w:r w:rsidRPr="00E7577F">
        <w:rPr>
          <w:rStyle w:val="s0"/>
          <w:sz w:val="24"/>
          <w:szCs w:val="24"/>
        </w:rPr>
        <w:t xml:space="preserve"> (Приложение №</w:t>
      </w:r>
      <w:r w:rsidR="0094614A" w:rsidRPr="00E7577F">
        <w:rPr>
          <w:rStyle w:val="s0"/>
          <w:sz w:val="24"/>
          <w:szCs w:val="24"/>
        </w:rPr>
        <w:t>2</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E7577F">
        <w:rPr>
          <w:rStyle w:val="s0"/>
          <w:sz w:val="24"/>
          <w:szCs w:val="24"/>
        </w:rPr>
        <w:t>Техническ</w:t>
      </w:r>
      <w:r w:rsidR="00F96A34" w:rsidRPr="00E7577F">
        <w:rPr>
          <w:rStyle w:val="s0"/>
          <w:sz w:val="24"/>
          <w:szCs w:val="24"/>
        </w:rPr>
        <w:t>ое задание</w:t>
      </w:r>
      <w:r w:rsidRPr="00E7577F">
        <w:rPr>
          <w:rStyle w:val="s0"/>
          <w:sz w:val="24"/>
          <w:szCs w:val="24"/>
        </w:rPr>
        <w:t xml:space="preserve"> закупаемых </w:t>
      </w:r>
      <w:r w:rsidR="004B0173" w:rsidRPr="00E7577F">
        <w:rPr>
          <w:rStyle w:val="s0"/>
          <w:sz w:val="24"/>
          <w:szCs w:val="24"/>
        </w:rPr>
        <w:t xml:space="preserve">работ </w:t>
      </w:r>
      <w:r w:rsidR="000D2E84" w:rsidRPr="00E7577F">
        <w:rPr>
          <w:rStyle w:val="s0"/>
          <w:sz w:val="24"/>
          <w:szCs w:val="24"/>
        </w:rPr>
        <w:t>(</w:t>
      </w:r>
      <w:r w:rsidR="00F96A34" w:rsidRPr="00E7577F">
        <w:rPr>
          <w:rStyle w:val="s0"/>
          <w:sz w:val="24"/>
          <w:szCs w:val="24"/>
        </w:rPr>
        <w:t>П</w:t>
      </w:r>
      <w:r w:rsidR="000D2E84" w:rsidRPr="00E7577F">
        <w:rPr>
          <w:rStyle w:val="s0"/>
          <w:sz w:val="24"/>
          <w:szCs w:val="24"/>
        </w:rPr>
        <w:t>риложени</w:t>
      </w:r>
      <w:r w:rsidR="00F96A34" w:rsidRPr="00E7577F">
        <w:rPr>
          <w:rStyle w:val="s0"/>
          <w:sz w:val="24"/>
          <w:szCs w:val="24"/>
        </w:rPr>
        <w:t>е</w:t>
      </w:r>
      <w:r w:rsidR="000D2E84" w:rsidRPr="00E7577F">
        <w:rPr>
          <w:rStyle w:val="s0"/>
          <w:sz w:val="24"/>
          <w:szCs w:val="24"/>
        </w:rPr>
        <w:t xml:space="preserve"> </w:t>
      </w:r>
      <w:r w:rsidR="00F96A34" w:rsidRPr="00E7577F">
        <w:rPr>
          <w:rStyle w:val="s0"/>
          <w:sz w:val="24"/>
          <w:szCs w:val="24"/>
        </w:rPr>
        <w:t>№</w:t>
      </w:r>
      <w:r w:rsidR="0094614A" w:rsidRPr="00E7577F">
        <w:rPr>
          <w:rStyle w:val="s0"/>
          <w:sz w:val="24"/>
          <w:szCs w:val="24"/>
        </w:rPr>
        <w:t>3</w:t>
      </w:r>
      <w:r w:rsidR="000D2E84" w:rsidRPr="00E7577F">
        <w:rPr>
          <w:rStyle w:val="s0"/>
          <w:sz w:val="24"/>
          <w:szCs w:val="24"/>
        </w:rPr>
        <w:t xml:space="preserve"> </w:t>
      </w:r>
      <w:r w:rsidRPr="00E7577F">
        <w:rPr>
          <w:rStyle w:val="s0"/>
          <w:sz w:val="24"/>
          <w:szCs w:val="24"/>
        </w:rPr>
        <w:t>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E7577F">
        <w:rPr>
          <w:rStyle w:val="s0"/>
          <w:sz w:val="24"/>
          <w:szCs w:val="24"/>
        </w:rPr>
        <w:t>Форма банковской гарантии обеспечение возврата аванса (предоплаты) (</w:t>
      </w:r>
      <w:r w:rsidR="002A0AF6" w:rsidRPr="00E7577F">
        <w:rPr>
          <w:rStyle w:val="s0"/>
          <w:sz w:val="24"/>
          <w:szCs w:val="24"/>
        </w:rPr>
        <w:t>Приложение №</w:t>
      </w:r>
      <w:r w:rsidR="0094614A" w:rsidRPr="00E7577F">
        <w:rPr>
          <w:rStyle w:val="s0"/>
          <w:sz w:val="24"/>
          <w:szCs w:val="24"/>
        </w:rPr>
        <w:t>4</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E7577F">
        <w:rPr>
          <w:rStyle w:val="s0"/>
          <w:sz w:val="24"/>
          <w:szCs w:val="24"/>
        </w:rPr>
        <w:t xml:space="preserve">Проект договора о закупках </w:t>
      </w:r>
      <w:r w:rsidR="004B0173" w:rsidRPr="00E7577F">
        <w:rPr>
          <w:rStyle w:val="s0"/>
          <w:sz w:val="24"/>
          <w:szCs w:val="24"/>
        </w:rPr>
        <w:t>работ</w:t>
      </w:r>
      <w:r w:rsidRPr="00E7577F">
        <w:rPr>
          <w:rStyle w:val="s0"/>
          <w:sz w:val="24"/>
          <w:szCs w:val="24"/>
        </w:rPr>
        <w:t xml:space="preserve"> (</w:t>
      </w:r>
      <w:r w:rsidR="002A0AF6" w:rsidRPr="00E7577F">
        <w:rPr>
          <w:rStyle w:val="s0"/>
          <w:sz w:val="24"/>
          <w:szCs w:val="24"/>
        </w:rPr>
        <w:t>П</w:t>
      </w:r>
      <w:r w:rsidRPr="00E7577F">
        <w:rPr>
          <w:rStyle w:val="s0"/>
          <w:sz w:val="24"/>
          <w:szCs w:val="24"/>
        </w:rPr>
        <w:t xml:space="preserve">риложение </w:t>
      </w:r>
      <w:r w:rsidR="002A0AF6" w:rsidRPr="00E7577F">
        <w:rPr>
          <w:rStyle w:val="s0"/>
          <w:sz w:val="24"/>
          <w:szCs w:val="24"/>
        </w:rPr>
        <w:t>№</w:t>
      </w:r>
      <w:r w:rsidR="0094614A" w:rsidRPr="00E7577F">
        <w:rPr>
          <w:rStyle w:val="s0"/>
          <w:sz w:val="24"/>
          <w:szCs w:val="24"/>
        </w:rPr>
        <w:t>5</w:t>
      </w:r>
      <w:r w:rsidRPr="00E7577F">
        <w:rPr>
          <w:rStyle w:val="s0"/>
          <w:sz w:val="24"/>
          <w:szCs w:val="24"/>
        </w:rPr>
        <w:t xml:space="preserve"> к Тендерной документации)</w:t>
      </w:r>
      <w:r w:rsidR="00515857" w:rsidRPr="00E7577F">
        <w:rPr>
          <w:rStyle w:val="s0"/>
          <w:sz w:val="24"/>
          <w:szCs w:val="24"/>
        </w:rPr>
        <w:t>;</w:t>
      </w:r>
    </w:p>
    <w:p w:rsidR="00515857" w:rsidRPr="00E7577F" w:rsidRDefault="00515857" w:rsidP="00515857">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E7577F">
        <w:rPr>
          <w:color w:val="000000"/>
          <w:sz w:val="24"/>
          <w:szCs w:val="24"/>
        </w:rPr>
        <w:t>Форма банковской гарантии обеспечения исполнения Договора (Приложение №6 к Тендерной документации).</w:t>
      </w:r>
    </w:p>
    <w:p w:rsidR="00515857" w:rsidRPr="007401D1" w:rsidRDefault="00515857"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515857" w:rsidRPr="007401D1" w:rsidSect="00A13DF7">
          <w:footerReference w:type="even" r:id="rId21"/>
          <w:footerReference w:type="default" r:id="rId22"/>
          <w:type w:val="nextColumn"/>
          <w:pgSz w:w="11906" w:h="16838"/>
          <w:pgMar w:top="851" w:right="851" w:bottom="851" w:left="1134" w:header="709" w:footer="709" w:gutter="0"/>
          <w:cols w:space="708"/>
          <w:docGrid w:linePitch="381"/>
        </w:sectPr>
      </w:pPr>
    </w:p>
    <w:bookmarkEnd w:id="0"/>
    <w:bookmarkEnd w:id="13"/>
    <w:bookmarkEnd w:id="14"/>
    <w:bookmarkEnd w:id="15"/>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FA4EA4" w:rsidRDefault="00162E2C" w:rsidP="00162E2C">
      <w:pPr>
        <w:spacing w:line="240" w:lineRule="auto"/>
        <w:ind w:firstLine="400"/>
        <w:jc w:val="center"/>
        <w:rPr>
          <w:b/>
          <w:sz w:val="24"/>
          <w:szCs w:val="24"/>
        </w:rPr>
      </w:pPr>
      <w:r w:rsidRPr="007401D1">
        <w:rPr>
          <w:b/>
          <w:sz w:val="24"/>
          <w:szCs w:val="24"/>
        </w:rPr>
        <w:t>Проект договора</w:t>
      </w: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Default="00FA4EA4" w:rsidP="00FA4EA4">
      <w:pPr>
        <w:rPr>
          <w:sz w:val="24"/>
          <w:szCs w:val="24"/>
        </w:rPr>
      </w:pPr>
    </w:p>
    <w:p w:rsidR="00162E2C" w:rsidRDefault="00162E2C"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spacing w:line="240" w:lineRule="auto"/>
        <w:ind w:firstLine="400"/>
        <w:jc w:val="right"/>
        <w:rPr>
          <w:b/>
          <w:sz w:val="24"/>
          <w:szCs w:val="24"/>
        </w:rPr>
      </w:pPr>
    </w:p>
    <w:p w:rsidR="00FA4EA4" w:rsidRPr="00FA4EA4" w:rsidRDefault="00FA4EA4" w:rsidP="00FA4EA4">
      <w:pPr>
        <w:spacing w:line="240" w:lineRule="auto"/>
        <w:ind w:firstLine="400"/>
        <w:jc w:val="right"/>
        <w:rPr>
          <w:b/>
          <w:sz w:val="24"/>
          <w:szCs w:val="24"/>
        </w:rPr>
      </w:pPr>
      <w:r w:rsidRPr="00FA4EA4">
        <w:rPr>
          <w:b/>
          <w:sz w:val="24"/>
          <w:szCs w:val="24"/>
        </w:rPr>
        <w:lastRenderedPageBreak/>
        <w:t>Приложение №6</w:t>
      </w:r>
    </w:p>
    <w:p w:rsidR="00FA4EA4" w:rsidRPr="00FA4EA4" w:rsidRDefault="00FA4EA4" w:rsidP="00FA4EA4">
      <w:pPr>
        <w:spacing w:line="240" w:lineRule="auto"/>
        <w:ind w:firstLine="400"/>
        <w:jc w:val="right"/>
        <w:rPr>
          <w:b/>
          <w:sz w:val="24"/>
          <w:szCs w:val="24"/>
        </w:rPr>
      </w:pPr>
      <w:r w:rsidRPr="00FA4EA4">
        <w:rPr>
          <w:b/>
          <w:sz w:val="24"/>
          <w:szCs w:val="24"/>
        </w:rPr>
        <w:t>к тендерной документации</w:t>
      </w: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jc w:val="center"/>
        <w:rPr>
          <w:b/>
          <w:sz w:val="24"/>
        </w:rPr>
      </w:pPr>
      <w:r w:rsidRPr="00FA4EA4">
        <w:rPr>
          <w:b/>
          <w:sz w:val="24"/>
        </w:rPr>
        <w:t>Банковская гарантия</w:t>
      </w:r>
    </w:p>
    <w:p w:rsidR="00FA4EA4" w:rsidRPr="00FA4EA4" w:rsidRDefault="00FA4EA4" w:rsidP="00FA4EA4">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FA4EA4" w:rsidRPr="00FA4EA4" w:rsidRDefault="00FA4EA4" w:rsidP="00FA4EA4">
      <w:pPr>
        <w:spacing w:line="240" w:lineRule="auto"/>
        <w:ind w:firstLine="400"/>
        <w:jc w:val="center"/>
        <w:rPr>
          <w:bCs/>
          <w:i/>
          <w:sz w:val="24"/>
        </w:rPr>
      </w:pPr>
    </w:p>
    <w:p w:rsidR="00FA4EA4" w:rsidRPr="00FA4EA4" w:rsidRDefault="00FA4EA4" w:rsidP="00FA4EA4">
      <w:pPr>
        <w:spacing w:line="240" w:lineRule="auto"/>
        <w:rPr>
          <w:bCs/>
          <w:sz w:val="24"/>
        </w:rPr>
      </w:pPr>
      <w:r w:rsidRPr="00FA4EA4">
        <w:rPr>
          <w:bCs/>
          <w:sz w:val="24"/>
        </w:rPr>
        <w:t> Наименование банка: 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FA4EA4" w:rsidRPr="00FA4EA4" w:rsidRDefault="00FA4EA4" w:rsidP="00FA4EA4">
      <w:pPr>
        <w:spacing w:line="240" w:lineRule="auto"/>
        <w:ind w:firstLine="400"/>
        <w:jc w:val="thaiDistribute"/>
        <w:rPr>
          <w:bCs/>
          <w:sz w:val="24"/>
        </w:rPr>
      </w:pPr>
      <w:r w:rsidRPr="00FA4EA4">
        <w:rPr>
          <w:bCs/>
          <w:sz w:val="24"/>
        </w:rPr>
        <w:t> Кому:____________________________________________________________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FA4EA4" w:rsidRPr="00FA4EA4" w:rsidRDefault="00FA4EA4" w:rsidP="00FA4EA4">
      <w:pPr>
        <w:spacing w:line="240" w:lineRule="auto"/>
        <w:ind w:firstLine="400"/>
        <w:jc w:val="center"/>
        <w:rPr>
          <w:b/>
          <w:bCs/>
          <w:sz w:val="24"/>
        </w:rPr>
      </w:pPr>
    </w:p>
    <w:p w:rsidR="00FA4EA4" w:rsidRPr="00FA4EA4" w:rsidRDefault="00FA4EA4" w:rsidP="00FA4EA4">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FA4EA4" w:rsidRPr="00FA4EA4" w:rsidTr="00D054C7">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 __________________</w:t>
            </w:r>
          </w:p>
          <w:p w:rsidR="00FA4EA4" w:rsidRPr="00FA4EA4" w:rsidRDefault="00FA4EA4" w:rsidP="00FA4EA4">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«___»___________ _____ г.</w:t>
            </w:r>
          </w:p>
          <w:p w:rsidR="00FA4EA4" w:rsidRPr="00FA4EA4" w:rsidRDefault="00FA4EA4" w:rsidP="00FA4EA4">
            <w:pPr>
              <w:spacing w:line="240" w:lineRule="auto"/>
              <w:jc w:val="center"/>
              <w:rPr>
                <w:bCs/>
                <w:sz w:val="24"/>
              </w:rPr>
            </w:pPr>
            <w:r w:rsidRPr="00FA4EA4">
              <w:rPr>
                <w:bCs/>
                <w:sz w:val="24"/>
              </w:rPr>
              <w:t> </w:t>
            </w:r>
          </w:p>
        </w:tc>
      </w:tr>
    </w:tbl>
    <w:p w:rsidR="00FA4EA4" w:rsidRPr="00FA4EA4" w:rsidRDefault="00FA4EA4" w:rsidP="00FA4EA4">
      <w:pPr>
        <w:spacing w:line="240" w:lineRule="auto"/>
        <w:ind w:firstLine="400"/>
        <w:jc w:val="thaiDistribute"/>
        <w:rPr>
          <w:bCs/>
          <w:sz w:val="24"/>
        </w:rPr>
      </w:pPr>
      <w:r w:rsidRPr="00FA4EA4">
        <w:rPr>
          <w:bCs/>
          <w:sz w:val="24"/>
        </w:rPr>
        <w:t> Принимая во внимание, что __________________________________,</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FA4EA4" w:rsidRPr="00FA4EA4" w:rsidRDefault="00FA4EA4" w:rsidP="00FA4EA4">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FA4EA4" w:rsidRPr="00FA4EA4" w:rsidRDefault="00FA4EA4" w:rsidP="00FA4EA4">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(наименование банка)</w:t>
      </w:r>
    </w:p>
    <w:p w:rsidR="00FA4EA4" w:rsidRPr="00FA4EA4" w:rsidRDefault="00FA4EA4" w:rsidP="00FA4EA4">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(сумма в цифрах и прописью)</w:t>
      </w:r>
    </w:p>
    <w:p w:rsidR="00FA4EA4" w:rsidRPr="00FA4EA4" w:rsidRDefault="00FA4EA4" w:rsidP="00FA4EA4">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FA4EA4" w:rsidRPr="00FA4EA4" w:rsidRDefault="00FA4EA4" w:rsidP="00FA4EA4">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FA4EA4" w:rsidRPr="00FA4EA4" w:rsidRDefault="00FA4EA4" w:rsidP="00FA4EA4">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FA4EA4" w:rsidRPr="00FA4EA4" w:rsidRDefault="00FA4EA4" w:rsidP="00FA4EA4">
      <w:pPr>
        <w:spacing w:line="240" w:lineRule="auto"/>
        <w:ind w:firstLine="400"/>
        <w:jc w:val="thaiDistribute"/>
        <w:rPr>
          <w:bCs/>
          <w:sz w:val="24"/>
        </w:rPr>
      </w:pPr>
      <w:r w:rsidRPr="00FA4EA4">
        <w:rPr>
          <w:bCs/>
          <w:sz w:val="24"/>
        </w:rPr>
        <w:t> </w:t>
      </w:r>
    </w:p>
    <w:p w:rsidR="00FA4EA4" w:rsidRPr="00FA4EA4" w:rsidRDefault="00FA4EA4" w:rsidP="00FA4EA4">
      <w:pPr>
        <w:spacing w:line="240" w:lineRule="auto"/>
        <w:ind w:firstLine="400"/>
        <w:jc w:val="thaiDistribute"/>
        <w:rPr>
          <w:bCs/>
          <w:sz w:val="24"/>
        </w:rPr>
      </w:pPr>
    </w:p>
    <w:p w:rsidR="00FA4EA4" w:rsidRPr="00FA4EA4" w:rsidRDefault="00FA4EA4" w:rsidP="00FA4EA4">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FA4EA4" w:rsidRPr="00FA4EA4" w:rsidTr="00D054C7">
        <w:trPr>
          <w:trHeight w:val="100"/>
        </w:trPr>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Дата и адрес</w:t>
            </w:r>
          </w:p>
        </w:tc>
      </w:tr>
    </w:tbl>
    <w:p w:rsidR="00FA4EA4" w:rsidRPr="00FA4EA4" w:rsidRDefault="00FA4EA4" w:rsidP="00FA4EA4">
      <w:pPr>
        <w:rPr>
          <w:sz w:val="24"/>
          <w:szCs w:val="24"/>
        </w:rPr>
      </w:pPr>
    </w:p>
    <w:sectPr w:rsidR="00FA4EA4" w:rsidRPr="00FA4EA4"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A1" w:rsidRDefault="002716A1">
      <w:r>
        <w:separator/>
      </w:r>
    </w:p>
  </w:endnote>
  <w:endnote w:type="continuationSeparator" w:id="0">
    <w:p w:rsidR="002716A1" w:rsidRDefault="0027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7" w:rsidRDefault="00515857"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5857" w:rsidRDefault="00515857"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7" w:rsidRDefault="00515857"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30938">
      <w:rPr>
        <w:rStyle w:val="af2"/>
        <w:noProof/>
      </w:rPr>
      <w:t>13</w:t>
    </w:r>
    <w:r>
      <w:rPr>
        <w:rStyle w:val="af2"/>
      </w:rPr>
      <w:fldChar w:fldCharType="end"/>
    </w:r>
  </w:p>
  <w:p w:rsidR="00515857" w:rsidRDefault="00515857"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A1" w:rsidRDefault="002716A1">
      <w:r>
        <w:separator/>
      </w:r>
    </w:p>
  </w:footnote>
  <w:footnote w:type="continuationSeparator" w:id="0">
    <w:p w:rsidR="002716A1" w:rsidRDefault="00271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0938"/>
    <w:rsid w:val="00031146"/>
    <w:rsid w:val="0003143B"/>
    <w:rsid w:val="00031E13"/>
    <w:rsid w:val="00032319"/>
    <w:rsid w:val="00033FE7"/>
    <w:rsid w:val="00034C4A"/>
    <w:rsid w:val="000362B0"/>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017D"/>
    <w:rsid w:val="000C14BB"/>
    <w:rsid w:val="000C1BDB"/>
    <w:rsid w:val="000C3D96"/>
    <w:rsid w:val="000C4917"/>
    <w:rsid w:val="000C4B5A"/>
    <w:rsid w:val="000C63A3"/>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664"/>
    <w:rsid w:val="000F4AE7"/>
    <w:rsid w:val="000F6D74"/>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6622"/>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44E3"/>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16A1"/>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461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7F3"/>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2B0E"/>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857"/>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9A6"/>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174D"/>
    <w:rsid w:val="00642206"/>
    <w:rsid w:val="00642AA2"/>
    <w:rsid w:val="0064389C"/>
    <w:rsid w:val="00644A6C"/>
    <w:rsid w:val="00652B88"/>
    <w:rsid w:val="006558DF"/>
    <w:rsid w:val="00655E4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085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3FE2"/>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067C"/>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07C9D"/>
    <w:rsid w:val="0091018A"/>
    <w:rsid w:val="00910737"/>
    <w:rsid w:val="00911733"/>
    <w:rsid w:val="00912791"/>
    <w:rsid w:val="00916A19"/>
    <w:rsid w:val="00920185"/>
    <w:rsid w:val="00922383"/>
    <w:rsid w:val="00922919"/>
    <w:rsid w:val="00923636"/>
    <w:rsid w:val="00923A89"/>
    <w:rsid w:val="009240F2"/>
    <w:rsid w:val="00925EE5"/>
    <w:rsid w:val="0092780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770E0"/>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77A24"/>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41ED"/>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46CE"/>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4EC2"/>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97C"/>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25B"/>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7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35BB"/>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4EA4"/>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kz" TargetMode="External"/><Relationship Id="rId18" Type="http://schemas.openxmlformats.org/officeDocument/2006/relationships/hyperlink" Target="http://www.skm.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ng.kz" TargetMode="External"/><Relationship Id="rId17" Type="http://schemas.openxmlformats.org/officeDocument/2006/relationships/hyperlink" Target="http://www.cng.kz" TargetMode="External"/><Relationship Id="rId2" Type="http://schemas.openxmlformats.org/officeDocument/2006/relationships/numbering" Target="numbering.xml"/><Relationship Id="rId16" Type="http://schemas.openxmlformats.org/officeDocument/2006/relationships/hyperlink" Target="http://www.ktgo.kz" TargetMode="External"/><Relationship Id="rId20" Type="http://schemas.openxmlformats.org/officeDocument/2006/relationships/hyperlink" Target="jl:31452231.68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m.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m.kz" TargetMode="External"/><Relationship Id="rId23" Type="http://schemas.openxmlformats.org/officeDocument/2006/relationships/fontTable" Target="fontTable.xml"/><Relationship Id="rId10" Type="http://schemas.openxmlformats.org/officeDocument/2006/relationships/hyperlink" Target="http://www.tender.sk.kz" TargetMode="External"/><Relationship Id="rId19" Type="http://schemas.openxmlformats.org/officeDocument/2006/relationships/hyperlink" Target="http://www.ktgo.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033C5-1213-4E4B-A41A-AB6C45E6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11760</Words>
  <Characters>67036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28</cp:revision>
  <cp:lastPrinted>2016-04-12T13:47:00Z</cp:lastPrinted>
  <dcterms:created xsi:type="dcterms:W3CDTF">2016-04-12T14:18:00Z</dcterms:created>
  <dcterms:modified xsi:type="dcterms:W3CDTF">2016-05-31T14:01:00Z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