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76550F">
        <w:rPr>
          <w:b/>
          <w:sz w:val="24"/>
          <w:szCs w:val="24"/>
        </w:rPr>
        <w:t>Услуги по оценке автотранспортных средств и спецтехники</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7"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EC7B29">
        <w:rPr>
          <w:b/>
          <w:sz w:val="24"/>
          <w:szCs w:val="24"/>
        </w:rPr>
        <w:t xml:space="preserve">услуг </w:t>
      </w:r>
      <w:r w:rsidRPr="00EC7B29">
        <w:rPr>
          <w:sz w:val="24"/>
          <w:szCs w:val="24"/>
        </w:rPr>
        <w:t>«</w:t>
      </w:r>
      <w:r w:rsidR="0076550F" w:rsidRPr="0076550F">
        <w:rPr>
          <w:b/>
          <w:sz w:val="24"/>
          <w:szCs w:val="24"/>
        </w:rPr>
        <w:t>Услуги по оценке автотранспортных средств и спецтехники</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76550F">
        <w:rPr>
          <w:rFonts w:ascii="Times New Roman" w:hAnsi="Times New Roman" w:cs="Times New Roman"/>
          <w:b/>
        </w:rPr>
        <w:t>1 830 000</w:t>
      </w:r>
      <w:r w:rsidR="00EC7B29" w:rsidRPr="00EC7B29">
        <w:rPr>
          <w:rFonts w:ascii="Times New Roman" w:hAnsi="Times New Roman" w:cs="Times New Roman"/>
          <w:b/>
        </w:rPr>
        <w:t xml:space="preserve">,00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8"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1"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в тенге</w:t>
      </w:r>
      <w:bookmarkStart w:id="1" w:name="_GoBack"/>
      <w:bookmarkEnd w:id="1"/>
      <w:r w:rsidR="00470700" w:rsidRPr="00EC7B29">
        <w:rPr>
          <w:bCs/>
          <w:sz w:val="24"/>
          <w:szCs w:val="24"/>
        </w:rPr>
        <w:t xml:space="preserve">, </w:t>
      </w:r>
      <w:r w:rsidR="003369ED" w:rsidRPr="00EC7B29">
        <w:rPr>
          <w:bCs/>
          <w:sz w:val="24"/>
          <w:szCs w:val="24"/>
        </w:rPr>
        <w:t xml:space="preserve">авансовый платеж - </w:t>
      </w:r>
      <w:r w:rsidR="0076550F">
        <w:rPr>
          <w:bCs/>
          <w:sz w:val="24"/>
          <w:szCs w:val="24"/>
        </w:rPr>
        <w:t>0</w:t>
      </w:r>
      <w:r w:rsidR="003369ED" w:rsidRPr="00EC7B29">
        <w:rPr>
          <w:bCs/>
          <w:sz w:val="24"/>
          <w:szCs w:val="24"/>
        </w:rPr>
        <w:t xml:space="preserve">%, оставшаяся часть </w:t>
      </w:r>
      <w:r w:rsidR="007F6D27">
        <w:rPr>
          <w:bCs/>
          <w:sz w:val="24"/>
          <w:szCs w:val="24"/>
        </w:rPr>
        <w:t xml:space="preserve">по факту полного оказания услуг </w:t>
      </w:r>
      <w:r w:rsidR="003369ED" w:rsidRPr="00EC7B29">
        <w:rPr>
          <w:bCs/>
          <w:sz w:val="24"/>
          <w:szCs w:val="24"/>
        </w:rPr>
        <w:t>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895235">
        <w:rPr>
          <w:color w:val="000000"/>
          <w:sz w:val="24"/>
          <w:szCs w:val="24"/>
        </w:rPr>
        <w:t>,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2" w:history="1">
        <w:r w:rsidR="00033FE7" w:rsidRPr="007401D1">
          <w:rPr>
            <w:sz w:val="24"/>
            <w:szCs w:val="24"/>
          </w:rPr>
          <w:t>www.cng.kz</w:t>
        </w:r>
      </w:hyperlink>
      <w:r w:rsidRPr="007401D1">
        <w:rPr>
          <w:sz w:val="24"/>
          <w:szCs w:val="24"/>
        </w:rPr>
        <w:t xml:space="preserve">, </w:t>
      </w:r>
      <w:hyperlink r:id="rId13" w:history="1">
        <w:r w:rsidRPr="007401D1">
          <w:rPr>
            <w:sz w:val="24"/>
            <w:szCs w:val="24"/>
          </w:rPr>
          <w:t>www.skm.kz</w:t>
        </w:r>
      </w:hyperlink>
      <w:r w:rsidRPr="007401D1">
        <w:rPr>
          <w:sz w:val="24"/>
          <w:szCs w:val="24"/>
        </w:rPr>
        <w:t xml:space="preserve">, </w:t>
      </w:r>
      <w:hyperlink r:id="rId14"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5"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6"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7"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7401D1"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7401D1">
        <w:rPr>
          <w:bCs/>
          <w:sz w:val="24"/>
          <w:szCs w:val="24"/>
          <w:highlight w:val="yellow"/>
        </w:rPr>
        <w:t>2</w:t>
      </w:r>
      <w:r w:rsidR="00F44992" w:rsidRPr="00F44992">
        <w:rPr>
          <w:bCs/>
          <w:sz w:val="24"/>
          <w:szCs w:val="24"/>
          <w:highlight w:val="yellow"/>
        </w:rPr>
        <w:t>7</w:t>
      </w:r>
      <w:r w:rsidRPr="007401D1">
        <w:rPr>
          <w:bCs/>
          <w:sz w:val="24"/>
          <w:szCs w:val="24"/>
        </w:rPr>
        <w:t xml:space="preserve"> Тендерной документации.</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2</w:t>
      </w:r>
      <w:r w:rsidRPr="007401D1">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8"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895235">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w:t>
      </w:r>
      <w:r w:rsidRPr="007401D1">
        <w:rPr>
          <w:spacing w:val="8"/>
          <w:sz w:val="24"/>
          <w:szCs w:val="24"/>
        </w:rPr>
        <w:lastRenderedPageBreak/>
        <w:t xml:space="preserve">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19"/>
          <w:footerReference w:type="default" r:id="rId20"/>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15D" w:rsidRDefault="0061415D">
      <w:r>
        <w:separator/>
      </w:r>
    </w:p>
  </w:endnote>
  <w:endnote w:type="continuationSeparator" w:id="0">
    <w:p w:rsidR="0061415D" w:rsidRDefault="0061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F6D27">
      <w:rPr>
        <w:rStyle w:val="af2"/>
        <w:noProof/>
      </w:rPr>
      <w:t>2</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15D" w:rsidRDefault="0061415D">
      <w:r>
        <w:separator/>
      </w:r>
    </w:p>
  </w:footnote>
  <w:footnote w:type="continuationSeparator" w:id="0">
    <w:p w:rsidR="0061415D" w:rsidRDefault="00614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15D"/>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D27"/>
    <w:rsid w:val="007F6E31"/>
    <w:rsid w:val="007F7F58"/>
    <w:rsid w:val="0080170C"/>
    <w:rsid w:val="008026CA"/>
    <w:rsid w:val="0081284C"/>
    <w:rsid w:val="008133E8"/>
    <w:rsid w:val="0081455A"/>
    <w:rsid w:val="0081581C"/>
    <w:rsid w:val="008174BD"/>
    <w:rsid w:val="0081794E"/>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5235"/>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skm.kz" TargetMode="External"/><Relationship Id="rId18" Type="http://schemas.openxmlformats.org/officeDocument/2006/relationships/hyperlink" Target="jl:31452231.680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ender.sk.kz" TargetMode="External"/><Relationship Id="rId12" Type="http://schemas.openxmlformats.org/officeDocument/2006/relationships/hyperlink" Target="http://www.cng.kz" TargetMode="External"/><Relationship Id="rId17" Type="http://schemas.openxmlformats.org/officeDocument/2006/relationships/hyperlink" Target="http://www.ktgo.kz" TargetMode="External"/><Relationship Id="rId2" Type="http://schemas.openxmlformats.org/officeDocument/2006/relationships/styles" Target="styles.xml"/><Relationship Id="rId16" Type="http://schemas.openxmlformats.org/officeDocument/2006/relationships/hyperlink" Target="http://www.skm.k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go.kz" TargetMode="External"/><Relationship Id="rId5" Type="http://schemas.openxmlformats.org/officeDocument/2006/relationships/footnotes" Target="footnotes.xml"/><Relationship Id="rId15" Type="http://schemas.openxmlformats.org/officeDocument/2006/relationships/hyperlink" Target="http://www.cng.kz" TargetMode="External"/><Relationship Id="rId10" Type="http://schemas.openxmlformats.org/officeDocument/2006/relationships/hyperlink" Target="http://www.cng.k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m.kz" TargetMode="External"/><Relationship Id="rId14" Type="http://schemas.openxmlformats.org/officeDocument/2006/relationships/hyperlink" Target="http://www.ktgo.k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26</Pages>
  <Words>11985</Words>
  <Characters>68318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18</cp:revision>
  <cp:lastPrinted>2016-04-19T12:10:00Z</cp:lastPrinted>
  <dcterms:created xsi:type="dcterms:W3CDTF">2016-04-17T11:25:00Z</dcterms:created>
  <dcterms:modified xsi:type="dcterms:W3CDTF">2016-05-21T10:14:00Z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